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18"/>
        <w:gridCol w:w="802"/>
        <w:gridCol w:w="1409"/>
        <w:gridCol w:w="679"/>
        <w:gridCol w:w="44"/>
        <w:gridCol w:w="106"/>
        <w:gridCol w:w="595"/>
        <w:gridCol w:w="990"/>
        <w:gridCol w:w="621"/>
        <w:gridCol w:w="739"/>
        <w:gridCol w:w="120"/>
        <w:gridCol w:w="297"/>
        <w:gridCol w:w="384"/>
        <w:gridCol w:w="1033"/>
      </w:tblGrid>
      <w:tr w:rsidR="003C35C4" w:rsidTr="007512CC">
        <w:trPr>
          <w:trHeight w:val="210"/>
        </w:trPr>
        <w:tc>
          <w:tcPr>
            <w:tcW w:w="6721" w:type="dxa"/>
            <w:gridSpan w:val="9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480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714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Liczba punktów ECTS</w:t>
            </w:r>
          </w:p>
        </w:tc>
      </w:tr>
      <w:tr w:rsidR="003C35C4" w:rsidTr="007512CC">
        <w:trPr>
          <w:trHeight w:val="225"/>
        </w:trPr>
        <w:tc>
          <w:tcPr>
            <w:tcW w:w="6721" w:type="dxa"/>
            <w:gridSpan w:val="9"/>
            <w:shd w:val="clear" w:color="auto" w:fill="FFFFFF" w:themeFill="background1"/>
          </w:tcPr>
          <w:p w:rsidR="003C35C4" w:rsidRPr="00E60B9E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E60B9E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PRAKTYKA ZAWODOWA (DYDAKTYCZNA W SZKOLE PONADPODSTAWOWEJ)</w:t>
            </w:r>
          </w:p>
        </w:tc>
        <w:tc>
          <w:tcPr>
            <w:tcW w:w="1480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1714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</w:tr>
      <w:tr w:rsidR="003C35C4" w:rsidTr="007512CC">
        <w:trPr>
          <w:trHeight w:val="225"/>
        </w:trPr>
        <w:tc>
          <w:tcPr>
            <w:tcW w:w="2898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7017" w:type="dxa"/>
            <w:gridSpan w:val="1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Filologia germańska - nauczycielska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Charakterystyka zajęć:</w:t>
            </w:r>
          </w:p>
        </w:tc>
      </w:tr>
      <w:tr w:rsidR="003C35C4" w:rsidTr="007512CC">
        <w:trPr>
          <w:trHeight w:val="225"/>
        </w:trPr>
        <w:tc>
          <w:tcPr>
            <w:tcW w:w="2898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profil studiów</w:t>
            </w:r>
          </w:p>
        </w:tc>
        <w:tc>
          <w:tcPr>
            <w:tcW w:w="2238" w:type="dxa"/>
            <w:gridSpan w:val="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poziom studiów</w:t>
            </w:r>
          </w:p>
        </w:tc>
        <w:tc>
          <w:tcPr>
            <w:tcW w:w="1585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zajęcia obowiązkowe dla kierunku</w:t>
            </w:r>
          </w:p>
        </w:tc>
        <w:tc>
          <w:tcPr>
            <w:tcW w:w="1777" w:type="dxa"/>
            <w:gridSpan w:val="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zajęcia do wyboru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semestr/y</w:t>
            </w:r>
          </w:p>
        </w:tc>
      </w:tr>
      <w:tr w:rsidR="003C35C4" w:rsidTr="007512CC">
        <w:trPr>
          <w:trHeight w:val="225"/>
        </w:trPr>
        <w:tc>
          <w:tcPr>
            <w:tcW w:w="2898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color w:val="000000"/>
                <w:lang w:eastAsia="pl-PL"/>
              </w:rPr>
              <w:t>ogólnoakademicki</w:t>
            </w:r>
            <w:proofErr w:type="spellEnd"/>
          </w:p>
        </w:tc>
        <w:tc>
          <w:tcPr>
            <w:tcW w:w="2238" w:type="dxa"/>
            <w:gridSpan w:val="4"/>
            <w:shd w:val="clear" w:color="auto" w:fill="FFFFFF" w:themeFill="background1"/>
          </w:tcPr>
          <w:p w:rsidR="003C35C4" w:rsidRPr="007512CC" w:rsidRDefault="007512CC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512CC">
              <w:rPr>
                <w:rFonts w:ascii="Cambria" w:eastAsia="Times New Roman" w:hAnsi="Cambria"/>
                <w:b/>
                <w:color w:val="000000"/>
                <w:lang w:eastAsia="pl-PL"/>
              </w:rPr>
              <w:t>STUDIA DRUGIEGO STOPNIA</w:t>
            </w:r>
          </w:p>
        </w:tc>
        <w:tc>
          <w:tcPr>
            <w:tcW w:w="1585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tak</w:t>
            </w:r>
          </w:p>
        </w:tc>
        <w:tc>
          <w:tcPr>
            <w:tcW w:w="1777" w:type="dxa"/>
            <w:gridSpan w:val="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2,3</w:t>
            </w:r>
          </w:p>
        </w:tc>
      </w:tr>
      <w:tr w:rsidR="003C35C4" w:rsidTr="007512CC">
        <w:trPr>
          <w:trHeight w:hRule="exact"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Dyscyplina: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językoznawstwo</w:t>
            </w:r>
          </w:p>
        </w:tc>
      </w:tr>
      <w:tr w:rsidR="003C35C4" w:rsidTr="007512CC">
        <w:trPr>
          <w:trHeight w:val="225"/>
        </w:trPr>
        <w:tc>
          <w:tcPr>
            <w:tcW w:w="4986" w:type="dxa"/>
            <w:gridSpan w:val="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nazwa jednostki prowadzącej zajęcia:</w:t>
            </w:r>
          </w:p>
        </w:tc>
        <w:tc>
          <w:tcPr>
            <w:tcW w:w="4929" w:type="dxa"/>
            <w:gridSpan w:val="10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osoby prowadzące zajęcia:</w:t>
            </w:r>
          </w:p>
        </w:tc>
      </w:tr>
      <w:tr w:rsidR="003C35C4" w:rsidTr="007512CC">
        <w:trPr>
          <w:trHeight w:val="540"/>
        </w:trPr>
        <w:tc>
          <w:tcPr>
            <w:tcW w:w="4986" w:type="dxa"/>
            <w:gridSpan w:val="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Instytut Filologii</w:t>
            </w:r>
          </w:p>
        </w:tc>
        <w:tc>
          <w:tcPr>
            <w:tcW w:w="745" w:type="dxa"/>
            <w:gridSpan w:val="3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184" w:type="dxa"/>
            <w:gridSpan w:val="7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Podział czasu kształcenia z uwzględnieniem nakładu pracy studenta:</w:t>
            </w:r>
          </w:p>
        </w:tc>
      </w:tr>
      <w:tr w:rsidR="003C35C4" w:rsidTr="007512CC">
        <w:tc>
          <w:tcPr>
            <w:tcW w:w="5030" w:type="dxa"/>
            <w:gridSpan w:val="6"/>
            <w:vMerge w:val="restart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formy zajęć/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br/>
              <w:t>samodzielnej pracy studenta</w:t>
            </w:r>
          </w:p>
        </w:tc>
        <w:tc>
          <w:tcPr>
            <w:tcW w:w="3852" w:type="dxa"/>
            <w:gridSpan w:val="8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liczba punktów ECTS</w:t>
            </w:r>
          </w:p>
        </w:tc>
      </w:tr>
      <w:tr w:rsidR="003C35C4" w:rsidTr="007512CC">
        <w:tc>
          <w:tcPr>
            <w:tcW w:w="5030" w:type="dxa"/>
            <w:gridSpan w:val="6"/>
            <w:vMerge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N</w:t>
            </w:r>
          </w:p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(nauczyciel)</w:t>
            </w:r>
          </w:p>
        </w:tc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S</w:t>
            </w:r>
          </w:p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(student)</w:t>
            </w:r>
          </w:p>
        </w:tc>
        <w:tc>
          <w:tcPr>
            <w:tcW w:w="801" w:type="dxa"/>
            <w:gridSpan w:val="3"/>
            <w:vMerge w:val="restart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c>
          <w:tcPr>
            <w:tcW w:w="5030" w:type="dxa"/>
            <w:gridSpan w:val="6"/>
            <w:vMerge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SS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SNS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SS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SNS</w:t>
            </w:r>
          </w:p>
        </w:tc>
        <w:tc>
          <w:tcPr>
            <w:tcW w:w="801" w:type="dxa"/>
            <w:gridSpan w:val="3"/>
            <w:vMerge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5030" w:type="dxa"/>
            <w:gridSpan w:val="6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Zajęcia praktyczne [razem]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621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801" w:type="dxa"/>
            <w:gridSpan w:val="3"/>
            <w:vMerge w:val="restart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4</w:t>
            </w:r>
          </w:p>
        </w:tc>
      </w:tr>
      <w:tr w:rsidR="003C35C4" w:rsidTr="007512CC">
        <w:trPr>
          <w:trHeight w:val="225"/>
        </w:trPr>
        <w:tc>
          <w:tcPr>
            <w:tcW w:w="5030" w:type="dxa"/>
            <w:gridSpan w:val="6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Obserwacja zajęć, asystowanie nauczycielowi, inne działania statutowe, działania na rzecz placówki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621" w:type="dxa"/>
            <w:shd w:val="clear" w:color="auto" w:fill="auto"/>
          </w:tcPr>
          <w:p w:rsidR="003C35C4" w:rsidRDefault="00AC6CD2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  <w:r w:rsidR="00CD7097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739" w:type="dxa"/>
            <w:shd w:val="clear" w:color="auto" w:fill="auto"/>
          </w:tcPr>
          <w:p w:rsidR="003C35C4" w:rsidRDefault="00AC6CD2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  <w:r w:rsidR="00CD7097">
              <w:rPr>
                <w:rFonts w:ascii="Cambria" w:eastAsia="Times New Roman" w:hAnsi="Cambria"/>
                <w:lang w:eastAsia="pl-PL"/>
              </w:rPr>
              <w:t>0</w:t>
            </w:r>
          </w:p>
        </w:tc>
        <w:tc>
          <w:tcPr>
            <w:tcW w:w="801" w:type="dxa"/>
            <w:gridSpan w:val="3"/>
            <w:vMerge/>
            <w:shd w:val="clear" w:color="auto" w:fill="auto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5030" w:type="dxa"/>
            <w:gridSpan w:val="6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Przygotowanie się do zajęć i ich omawianie z opiekunem praktyk, w tym opracowanie scenariuszy oraz materiałów dydaktycznych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621" w:type="dxa"/>
            <w:shd w:val="clear" w:color="auto" w:fill="auto"/>
          </w:tcPr>
          <w:p w:rsidR="003C35C4" w:rsidRDefault="00CD7097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50</w:t>
            </w:r>
          </w:p>
        </w:tc>
        <w:tc>
          <w:tcPr>
            <w:tcW w:w="739" w:type="dxa"/>
            <w:shd w:val="clear" w:color="auto" w:fill="auto"/>
          </w:tcPr>
          <w:p w:rsidR="003C35C4" w:rsidRDefault="00CD7097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50</w:t>
            </w:r>
          </w:p>
        </w:tc>
        <w:tc>
          <w:tcPr>
            <w:tcW w:w="801" w:type="dxa"/>
            <w:gridSpan w:val="3"/>
            <w:vMerge/>
            <w:shd w:val="clear" w:color="auto" w:fill="auto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5030" w:type="dxa"/>
            <w:gridSpan w:val="6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Prowadzenie zajęć z uczniami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621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60</w:t>
            </w:r>
          </w:p>
        </w:tc>
        <w:tc>
          <w:tcPr>
            <w:tcW w:w="739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60</w:t>
            </w:r>
          </w:p>
        </w:tc>
        <w:tc>
          <w:tcPr>
            <w:tcW w:w="801" w:type="dxa"/>
            <w:gridSpan w:val="3"/>
            <w:vMerge/>
            <w:shd w:val="clear" w:color="auto" w:fill="auto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5030" w:type="dxa"/>
            <w:gridSpan w:val="6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ind w:left="74"/>
              <w:jc w:val="righ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621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120</w:t>
            </w:r>
          </w:p>
        </w:tc>
        <w:tc>
          <w:tcPr>
            <w:tcW w:w="739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120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1033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N – zajęcia z nauczycielem; S – samodzielna praca studenta; SS – studia stacjonarne; SNS – studia niestacjonarne.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Metody dydaktyczne: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02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praca samodzielna przy współpracy z opiekunem praktyk: obserwacja zajęć, uczestnictwo w życiu szkoły w realizacji zadań statutowych, przygotowanie i prowadzenie zajęć bezpośrednio z uczniami/ wychowankami, praca indywidualna z uczniem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Wymagania formalne związane z dopuszczeniem studentów do zajęć:</w:t>
            </w:r>
          </w:p>
        </w:tc>
      </w:tr>
      <w:tr w:rsidR="003C35C4" w:rsidTr="007512CC">
        <w:trPr>
          <w:trHeight w:val="225"/>
        </w:trPr>
        <w:tc>
          <w:tcPr>
            <w:tcW w:w="6721" w:type="dxa"/>
            <w:gridSpan w:val="9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Przedmioty wprowadzające:</w:t>
            </w:r>
          </w:p>
        </w:tc>
        <w:tc>
          <w:tcPr>
            <w:tcW w:w="3194" w:type="dxa"/>
            <w:gridSpan w:val="6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Wymagania wstępne:</w:t>
            </w:r>
          </w:p>
        </w:tc>
      </w:tr>
      <w:tr w:rsidR="003C35C4" w:rsidTr="007512CC">
        <w:trPr>
          <w:trHeight w:val="225"/>
        </w:trPr>
        <w:tc>
          <w:tcPr>
            <w:tcW w:w="6721" w:type="dxa"/>
            <w:gridSpan w:val="9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Blok zajęć pedagogiczno-psychologicznych</w:t>
            </w:r>
          </w:p>
        </w:tc>
        <w:tc>
          <w:tcPr>
            <w:tcW w:w="3194" w:type="dxa"/>
            <w:gridSpan w:val="6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poziom językowy min. C1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Cele przedmiotu: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pStyle w:val="NormalnyWeb"/>
              <w:widowControl w:val="0"/>
              <w:shd w:val="clear" w:color="auto" w:fill="FFFFFF" w:themeFill="background1"/>
              <w:spacing w:before="0" w:after="198" w:line="198" w:lineRule="atLeast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Zdobywanie doświadczeń związanych z pracą dydaktyczno-wychowawczą nauczyciela, konfrontowanie oraz zastosowanie nabytej wiedzy teoretycznej w praktyce nauczycielskiej. Kształcenie umiejętności nauczycielskich w naturalnych warunkach pracy szkoły.</w:t>
            </w:r>
          </w:p>
          <w:p w:rsidR="003C35C4" w:rsidRDefault="003C35C4" w:rsidP="00FA538A">
            <w:pPr>
              <w:pStyle w:val="NormalnyWeb"/>
              <w:widowControl w:val="0"/>
              <w:shd w:val="clear" w:color="auto" w:fill="FFFFFF" w:themeFill="background1"/>
              <w:spacing w:before="0" w:after="198" w:line="198" w:lineRule="atLeast"/>
              <w:jc w:val="both"/>
            </w:pP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lastRenderedPageBreak/>
              <w:t>Treści programowe: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zajęcia praktyczne: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Pr="00EE7163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EE7163">
              <w:rPr>
                <w:rFonts w:ascii="Cambria" w:eastAsia="Times New Roman" w:hAnsi="Cambria"/>
                <w:color w:val="000000"/>
                <w:lang w:eastAsia="pl-PL"/>
              </w:rPr>
              <w:t>1/ Zapoznanie się ze specyfiką pracy w szkole ponadpodstawowej: zadania dydaktyczno-wychowawcze, dokumentacja, organizacja pracy, podstawy prawne działalności.</w:t>
            </w:r>
          </w:p>
          <w:p w:rsidR="003C35C4" w:rsidRPr="00EE7163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EE7163">
              <w:rPr>
                <w:rFonts w:ascii="Cambria" w:eastAsia="Times New Roman" w:hAnsi="Cambria"/>
                <w:color w:val="000000"/>
                <w:lang w:eastAsia="pl-PL"/>
              </w:rPr>
              <w:t>2/ Obserwacja czynności opiekuna praktyk, toku metodycznego lekcji, interakcji dorosły-młodzież, młodzież/młodzież, dorosły-młodzież, procesów komunikowania interpersonalnego, aktywizacji uczniów, sposobu oceniania i kontroli osiągnięć, klimatu społecznego, działań na rzecz bezpieczeństwa i zachowania dyscypliny, organizacji przestrzeni dydaktycznej; analiza zaobserwowanych zdarzeń.</w:t>
            </w:r>
          </w:p>
          <w:p w:rsidR="003C35C4" w:rsidRPr="00EE7163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EE7163">
              <w:rPr>
                <w:rFonts w:ascii="Cambria" w:eastAsia="Times New Roman" w:hAnsi="Cambria"/>
                <w:color w:val="000000"/>
                <w:lang w:eastAsia="pl-PL"/>
              </w:rPr>
              <w:t>3/ Współdziałanie z opiekunem praktyk w planowaniu i prowadzeniu zajęć (asystowanie), organizowaniu pracy grupowej oraz indywidualnej, przygotowaniu pomocy dydaktycznych, wykorzystaniu środków multimedialnych i technologii informacyjnej.</w:t>
            </w:r>
          </w:p>
          <w:p w:rsidR="003C35C4" w:rsidRPr="00EE7163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EE7163">
              <w:rPr>
                <w:rFonts w:ascii="Cambria" w:eastAsia="Times New Roman" w:hAnsi="Cambria"/>
                <w:color w:val="000000"/>
                <w:lang w:eastAsia="pl-PL"/>
              </w:rPr>
              <w:t>4/ Pełnienie roli nauczyciela poprzez planowanie i prowadzenie lekcji, stosowanie odpowiednich metod, wykorzystanie nowoczesnych technologii, animowanie aktywności poznawczej uczniów, diagnozowanie poziomu uczniów, podejmowanie pracy indywidualnej z uczniem, podejmowanie współpracy z rodzicami i środowiskiem szkolnym.</w:t>
            </w:r>
          </w:p>
          <w:p w:rsidR="003C35C4" w:rsidRPr="00EE7163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EE7163">
              <w:rPr>
                <w:rFonts w:ascii="Cambria" w:eastAsia="Times New Roman" w:hAnsi="Cambria"/>
                <w:color w:val="000000"/>
                <w:lang w:eastAsia="pl-PL"/>
              </w:rPr>
              <w:t>5/ Analiza i ocena własnych działań, prowadzenie dokumentacji praktyk i dokumentacji szkolnej, omawianie własnych doświadczeń z innymi studentami.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Uwaga: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 podział dotyczy zajęć z bezpośrednim udziałem nauczycieli lub zajęć na platformie e-learningowej.               </w:t>
            </w: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Użyte skróty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>: SS – studia stacjonarne; SNS – studia niestacjonarne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Efekty uczenia się:</w:t>
            </w:r>
          </w:p>
        </w:tc>
      </w:tr>
      <w:tr w:rsidR="003C35C4" w:rsidTr="007512CC">
        <w:trPr>
          <w:trHeight w:val="225"/>
        </w:trPr>
        <w:tc>
          <w:tcPr>
            <w:tcW w:w="2096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2211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5608" w:type="dxa"/>
            <w:gridSpan w:val="11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treść</w:t>
            </w:r>
          </w:p>
        </w:tc>
      </w:tr>
      <w:tr w:rsidR="003C35C4" w:rsidTr="007512CC">
        <w:tc>
          <w:tcPr>
            <w:tcW w:w="2096" w:type="dxa"/>
            <w:gridSpan w:val="2"/>
            <w:vMerge w:val="restart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W zakresie wiedzy absolwent zna i rozumie:</w:t>
            </w:r>
          </w:p>
        </w:tc>
        <w:tc>
          <w:tcPr>
            <w:tcW w:w="2211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D2.W1</w:t>
            </w:r>
          </w:p>
        </w:tc>
        <w:tc>
          <w:tcPr>
            <w:tcW w:w="5608" w:type="dxa"/>
            <w:gridSpan w:val="11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zadania dydaktyczne realizowane przez szkołę lub placówkę systemu oświaty;</w:t>
            </w:r>
          </w:p>
        </w:tc>
      </w:tr>
      <w:tr w:rsidR="003C35C4" w:rsidTr="007512CC">
        <w:tc>
          <w:tcPr>
            <w:tcW w:w="2096" w:type="dxa"/>
            <w:gridSpan w:val="2"/>
            <w:vMerge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11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D2.W2</w:t>
            </w:r>
          </w:p>
        </w:tc>
        <w:tc>
          <w:tcPr>
            <w:tcW w:w="5608" w:type="dxa"/>
            <w:gridSpan w:val="11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sposób funkcjonowania oraz organizację pracy dydaktycznej szkoły lub placówki systemu oświaty</w:t>
            </w:r>
          </w:p>
        </w:tc>
      </w:tr>
      <w:tr w:rsidR="003C35C4" w:rsidTr="007512CC">
        <w:tc>
          <w:tcPr>
            <w:tcW w:w="2096" w:type="dxa"/>
            <w:gridSpan w:val="2"/>
            <w:vMerge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11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D2.W3</w:t>
            </w:r>
          </w:p>
        </w:tc>
        <w:tc>
          <w:tcPr>
            <w:tcW w:w="5608" w:type="dxa"/>
            <w:gridSpan w:val="11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rodzaje dokumentacji działalności dydaktycznej prowadzonej w szkole lub placówce systemu oświaty</w:t>
            </w:r>
          </w:p>
        </w:tc>
      </w:tr>
      <w:tr w:rsidR="003C35C4" w:rsidTr="007512CC">
        <w:tc>
          <w:tcPr>
            <w:tcW w:w="2096" w:type="dxa"/>
            <w:gridSpan w:val="2"/>
            <w:vMerge w:val="restart"/>
            <w:shd w:val="clear" w:color="auto" w:fill="FFFFFF" w:themeFill="background1"/>
          </w:tcPr>
          <w:p w:rsidR="003C35C4" w:rsidRDefault="003C35C4" w:rsidP="00FA538A">
            <w:pPr>
              <w:widowControl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 zakresie umiejętności absolwent potrafi:</w:t>
            </w:r>
          </w:p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2211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D2.U1</w:t>
            </w:r>
          </w:p>
        </w:tc>
        <w:tc>
          <w:tcPr>
            <w:tcW w:w="5608" w:type="dxa"/>
            <w:gridSpan w:val="11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</w:t>
            </w:r>
          </w:p>
        </w:tc>
      </w:tr>
      <w:tr w:rsidR="003C35C4" w:rsidTr="007512CC">
        <w:tc>
          <w:tcPr>
            <w:tcW w:w="2096" w:type="dxa"/>
            <w:gridSpan w:val="2"/>
            <w:vMerge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11" w:type="dxa"/>
            <w:gridSpan w:val="2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D2.U2</w:t>
            </w:r>
          </w:p>
        </w:tc>
        <w:tc>
          <w:tcPr>
            <w:tcW w:w="5608" w:type="dxa"/>
            <w:gridSpan w:val="11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zaplanować i przeprowadzić pod nadzorem opiekuna praktyk zawodowych serię lekcji lub zajęć;</w:t>
            </w:r>
          </w:p>
        </w:tc>
      </w:tr>
      <w:tr w:rsidR="003C35C4" w:rsidTr="007512CC">
        <w:tc>
          <w:tcPr>
            <w:tcW w:w="2096" w:type="dxa"/>
            <w:gridSpan w:val="2"/>
            <w:vMerge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D2.U3</w:t>
            </w:r>
          </w:p>
        </w:tc>
        <w:tc>
          <w:tcPr>
            <w:tcW w:w="5608" w:type="dxa"/>
            <w:gridSpan w:val="11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</w:p>
        </w:tc>
      </w:tr>
      <w:tr w:rsidR="003C35C4" w:rsidTr="007512CC">
        <w:tc>
          <w:tcPr>
            <w:tcW w:w="2096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hAnsi="Cambria"/>
                <w:b/>
                <w:bCs/>
              </w:rPr>
              <w:t>W zakresie kompetencji społecznych absolwent jest gotów do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D2.K1</w:t>
            </w:r>
          </w:p>
        </w:tc>
        <w:tc>
          <w:tcPr>
            <w:tcW w:w="5608" w:type="dxa"/>
            <w:gridSpan w:val="11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skutecznego współdziałania z opiekunem praktyk zawodowych i nauczycielami w celu poszerzania swojej wiedzy dydaktycznej oraz rozwijania umiejętności wychowawczych.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Zaliczenie przedmiotu/weryfikacja efektów uczenia się: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Sposób zaliczenia</w:t>
            </w:r>
          </w:p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shd w:val="clear" w:color="auto" w:fill="FFFFFF"/>
                <w:lang w:eastAsia="pl-PL"/>
              </w:rPr>
              <w:lastRenderedPageBreak/>
              <w:t>oraz weryfikacji i oceny efe</w:t>
            </w:r>
            <w:r>
              <w:rPr>
                <w:rFonts w:ascii="Cambria" w:eastAsia="Times New Roman" w:hAnsi="Cambria"/>
                <w:b/>
                <w:bCs/>
                <w:lang w:eastAsia="pl-PL"/>
              </w:rPr>
              <w:t>któw</w:t>
            </w:r>
          </w:p>
        </w:tc>
        <w:tc>
          <w:tcPr>
            <w:tcW w:w="7937" w:type="dxa"/>
            <w:gridSpan w:val="14"/>
            <w:shd w:val="clear" w:color="auto" w:fill="FFFFFF" w:themeFill="background1"/>
            <w:vAlign w:val="center"/>
          </w:tcPr>
          <w:p w:rsidR="003C35C4" w:rsidRDefault="003C35C4" w:rsidP="00FA538A">
            <w:pPr>
              <w:pStyle w:val="NormalnyWeb"/>
              <w:widowControl w:val="0"/>
              <w:shd w:val="clear" w:color="auto" w:fill="FFFFFF" w:themeFill="background1"/>
              <w:spacing w:before="0" w:after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 xml:space="preserve">Sposób zaliczenia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: Zaliczenie z oceną po 2 i 3 semestrze. Ostatecznej oceny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końcowej dokonuje opiekun praktyk z ramienia Uczelni na podstawie oceny przydatności do zawodu, dziennika praktyk, hospitacji zajęć (jeśli taka się odbyła i została przeprowadzona przez opiekuna praktyk z ramienia uczelni), rozmowy ze studentem.</w:t>
            </w:r>
          </w:p>
          <w:p w:rsidR="003C35C4" w:rsidRDefault="003C35C4" w:rsidP="00FA538A">
            <w:pPr>
              <w:pStyle w:val="NormalnyWeb"/>
              <w:widowControl w:val="0"/>
              <w:shd w:val="clear" w:color="auto" w:fill="FFFFFF" w:themeFill="background1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Sposoby weryfikacji i oceny efektów</w:t>
            </w:r>
          </w:p>
          <w:p w:rsidR="003C35C4" w:rsidRDefault="003C35C4" w:rsidP="003C35C4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Autospacing="1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Ocena przydatności do zawodu (opinia opiekuna praktyk z ramienia szkoły)</w:t>
            </w:r>
          </w:p>
          <w:p w:rsidR="003C35C4" w:rsidRDefault="003C35C4" w:rsidP="003C35C4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>Pozytywna opinia nauczyciela (opiekuna) z ramienia szkoły (50% oceny),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before="0" w:after="0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>Dziennik Praktyk prowadzony według zaleceń regulaminowych (50% oceny)</w:t>
            </w:r>
          </w:p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lastRenderedPageBreak/>
              <w:t>Matryca efektów uczenia się dla zajęć: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Numer (symbol) efektu uczenia się</w:t>
            </w:r>
          </w:p>
        </w:tc>
        <w:tc>
          <w:tcPr>
            <w:tcW w:w="7937" w:type="dxa"/>
            <w:gridSpan w:val="14"/>
            <w:shd w:val="clear" w:color="auto" w:fill="FFFFFF" w:themeFill="background1"/>
            <w:vAlign w:val="center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Odniesienie do efektów uczenia się dla kierunku i/lub standardu kształcenia nauczycieli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D2.W1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tabs>
                <w:tab w:val="left" w:pos="1260"/>
              </w:tabs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SN_W04, SN_W15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D2.W2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>SN_W04, SN_W08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D2.W3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 xml:space="preserve">SN_W04, SN_W08, SN_W09, </w:t>
            </w:r>
            <w:r>
              <w:rPr>
                <w:rFonts w:ascii="Cambria" w:eastAsia="Times New Roman" w:hAnsi="Cambria"/>
                <w:lang w:eastAsia="pl-PL"/>
              </w:rPr>
              <w:t>K2_W08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D2.U1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tabs>
                <w:tab w:val="left" w:pos="1455"/>
              </w:tabs>
              <w:spacing w:beforeAutospacing="1" w:after="0" w:line="198" w:lineRule="atLeast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 xml:space="preserve">SN_U01, SN_U10, </w:t>
            </w:r>
            <w:r>
              <w:rPr>
                <w:rFonts w:ascii="Cambria" w:eastAsia="Times New Roman" w:hAnsi="Cambria"/>
                <w:lang w:eastAsia="pl-PL"/>
              </w:rPr>
              <w:t>K2_U02, K2_U18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D2.U2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 xml:space="preserve">SN_U02, SN_U03, SN_U05, </w:t>
            </w:r>
            <w:r>
              <w:rPr>
                <w:rFonts w:ascii="Cambria" w:eastAsia="Times New Roman" w:hAnsi="Cambria"/>
                <w:lang w:eastAsia="pl-PL"/>
              </w:rPr>
              <w:t>K2_U18, K2_U19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D2.U3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198" w:lineRule="atLeast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 xml:space="preserve">SN_U01, </w:t>
            </w:r>
            <w:r>
              <w:rPr>
                <w:rFonts w:ascii="Cambria" w:eastAsia="Times New Roman" w:hAnsi="Cambria"/>
                <w:lang w:eastAsia="pl-PL"/>
              </w:rPr>
              <w:t>K2_U18</w:t>
            </w:r>
          </w:p>
        </w:tc>
      </w:tr>
      <w:tr w:rsidR="003C35C4" w:rsidTr="007512CC">
        <w:trPr>
          <w:trHeight w:val="225"/>
        </w:trPr>
        <w:tc>
          <w:tcPr>
            <w:tcW w:w="1978" w:type="dxa"/>
            <w:shd w:val="clear" w:color="auto" w:fill="auto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D2.K1</w:t>
            </w:r>
          </w:p>
        </w:tc>
        <w:tc>
          <w:tcPr>
            <w:tcW w:w="7937" w:type="dxa"/>
            <w:gridSpan w:val="14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beforeAutospacing="1"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lang w:eastAsia="pl-PL"/>
              </w:rPr>
              <w:t xml:space="preserve">SN_K07, </w:t>
            </w:r>
            <w:r>
              <w:rPr>
                <w:rFonts w:ascii="Cambria" w:eastAsia="Times New Roman" w:hAnsi="Cambria"/>
                <w:lang w:eastAsia="pl-PL"/>
              </w:rPr>
              <w:t>K2_K02, K2_K04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Wykaz literatury: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A. Literatura podstawowa: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Fernstudieneinheit 01: Grammatik lehren und lernen. 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05: Fertigkeit Hören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10: Probleme der Leistungsmessung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12: Fertigkeit Schreiben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17: Fertigkeit Lesen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18: Deutschunterricht planen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19: Fehler und Fehlerkorrektur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CE56EF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Fernstudieneinheit 20: Fertigkeit Sprechen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3C35C4" w:rsidRPr="009922DF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DLL1: Lehrkompetenz und Unterrichtsgestaltung.</w:t>
            </w:r>
          </w:p>
          <w:p w:rsidR="003C35C4" w:rsidRPr="009922DF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DLL 4: Aufgaben, </w:t>
            </w:r>
            <w:r>
              <w:rPr>
                <w:rFonts w:ascii="Cambria" w:hAnsi="Cambria"/>
                <w:sz w:val="22"/>
                <w:szCs w:val="22"/>
                <w:lang w:val="de-DE"/>
              </w:rPr>
              <w:t>Übungen, Interaktion.</w:t>
            </w:r>
          </w:p>
          <w:p w:rsidR="003C35C4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9922DF">
              <w:rPr>
                <w:rFonts w:ascii="Cambria" w:hAnsi="Cambria"/>
                <w:sz w:val="22"/>
                <w:szCs w:val="22"/>
                <w:lang w:val="de-DE"/>
              </w:rPr>
              <w:t>DLL 6: Curriculare Vorgaben und U</w:t>
            </w:r>
            <w:r>
              <w:rPr>
                <w:rFonts w:ascii="Cambria" w:hAnsi="Cambria"/>
                <w:sz w:val="22"/>
                <w:szCs w:val="22"/>
                <w:lang w:val="de-DE"/>
              </w:rPr>
              <w:t>nterrichtsplanung.</w:t>
            </w:r>
          </w:p>
          <w:p w:rsidR="003C35C4" w:rsidRPr="00C42B8B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DLL 9: Unterrichten mit Digitalen Medien.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96454C">
              <w:rPr>
                <w:rFonts w:ascii="Cambria" w:hAnsi="Cambria"/>
                <w:color w:val="1C1C1C"/>
                <w:sz w:val="22"/>
                <w:szCs w:val="22"/>
                <w:lang w:val="de-DE"/>
              </w:rPr>
              <w:t>CZAPLIKOWSKA R. KUBACKI A.D. (2010): Grundlagen der Fremdsprachendidaktik.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HUNEKE, H-W/ STEINIG W. (2005). Deutsch als Fremdsprache: Eine Einführung. 4., aktualisierte und </w:t>
            </w:r>
            <w:proofErr w:type="spellStart"/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erg</w:t>
            </w:r>
            <w:proofErr w:type="spellEnd"/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. Aufl. . Berlin: Erich Schmidt.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96454C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 xml:space="preserve">EDMONDSON, W. J./ HOUSE, J. (2006). </w:t>
            </w: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 xml:space="preserve">Einführung in die Sprachlehrforschung. 3., aktualisierte und </w:t>
            </w:r>
            <w:proofErr w:type="spellStart"/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erw</w:t>
            </w:r>
            <w:proofErr w:type="spellEnd"/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. Aufl. . Tübingen: Francke</w:t>
            </w:r>
            <w:r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.</w:t>
            </w:r>
          </w:p>
          <w:p w:rsidR="003C35C4" w:rsidRPr="0096454C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BAUSCH, K.- R. /CHRIST, H./ KRUMM H.-J. (Hrsg.) (2003). „Handbuch Fremdsprachenunterricht“. Tübingen: Francke</w:t>
            </w:r>
            <w:r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.</w:t>
            </w:r>
          </w:p>
          <w:p w:rsidR="003C35C4" w:rsidRPr="00EE7163" w:rsidRDefault="003C35C4" w:rsidP="003C35C4">
            <w:pPr>
              <w:pStyle w:val="NormalnyWeb"/>
              <w:numPr>
                <w:ilvl w:val="0"/>
                <w:numId w:val="1"/>
              </w:numPr>
              <w:suppressAutoHyphens w:val="0"/>
              <w:spacing w:before="100"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96454C"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HALLET W., KONIGS F.G. (2010). Handbuch Fremdsprachendidaktik. Klett</w:t>
            </w:r>
            <w:r>
              <w:rPr>
                <w:rFonts w:ascii="Cambria" w:hAnsi="Cambria"/>
                <w:color w:val="000000"/>
                <w:sz w:val="22"/>
                <w:szCs w:val="22"/>
                <w:lang w:val="de-DE"/>
              </w:rPr>
              <w:t>.</w:t>
            </w:r>
          </w:p>
        </w:tc>
      </w:tr>
      <w:tr w:rsidR="003C35C4" w:rsidTr="007512CC">
        <w:trPr>
          <w:trHeight w:val="225"/>
        </w:trPr>
        <w:tc>
          <w:tcPr>
            <w:tcW w:w="9915" w:type="dxa"/>
            <w:gridSpan w:val="15"/>
            <w:shd w:val="clear" w:color="auto" w:fill="FFFFFF" w:themeFill="background1"/>
          </w:tcPr>
          <w:p w:rsidR="003C35C4" w:rsidRDefault="003C35C4" w:rsidP="00FA538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B. Literatura uzupełniająca:</w:t>
            </w:r>
          </w:p>
        </w:tc>
      </w:tr>
      <w:tr w:rsidR="003C35C4" w:rsidTr="007512CC">
        <w:trPr>
          <w:trHeight w:val="210"/>
        </w:trPr>
        <w:tc>
          <w:tcPr>
            <w:tcW w:w="9915" w:type="dxa"/>
            <w:gridSpan w:val="15"/>
            <w:shd w:val="clear" w:color="auto" w:fill="auto"/>
          </w:tcPr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>PFEIFFER W. (2002): Nauka języków obcych. Od praktyki do praktyki. Poznań.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  <w:lang w:val="de-DE"/>
              </w:rPr>
              <w:t xml:space="preserve">TRIM, J./NORTH, B./COSTE, D. (2001). „Gemeinsamer Europäischer Referenzrahmen für Sprachen: lernen, lehren, beurteilen“. </w:t>
            </w:r>
            <w:r w:rsidRPr="00EE7163">
              <w:rPr>
                <w:rFonts w:ascii="Cambria" w:hAnsi="Cambria"/>
                <w:sz w:val="22"/>
                <w:szCs w:val="22"/>
              </w:rPr>
              <w:t xml:space="preserve">Berlin: </w:t>
            </w:r>
            <w:proofErr w:type="spellStart"/>
            <w:r w:rsidRPr="00EE7163">
              <w:rPr>
                <w:rFonts w:ascii="Cambria" w:hAnsi="Cambria"/>
                <w:sz w:val="22"/>
                <w:szCs w:val="22"/>
              </w:rPr>
              <w:t>Langenscheidt</w:t>
            </w:r>
            <w:proofErr w:type="spellEnd"/>
            <w:r w:rsidRPr="00EE7163">
              <w:rPr>
                <w:rFonts w:ascii="Cambria" w:hAnsi="Cambria"/>
                <w:sz w:val="22"/>
                <w:szCs w:val="22"/>
              </w:rPr>
              <w:t>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  <w:lang w:val="de-DE"/>
              </w:rPr>
              <w:t xml:space="preserve">STORCH, G. (1999). „Deutsch als Fremdsprache: eine Didaktik; theoretische Grundlagen und praktische Unterrichtsgestaltung“. </w:t>
            </w:r>
            <w:proofErr w:type="spellStart"/>
            <w:r w:rsidRPr="00EE7163">
              <w:rPr>
                <w:rFonts w:ascii="Cambria" w:hAnsi="Cambria"/>
                <w:sz w:val="22"/>
                <w:szCs w:val="22"/>
              </w:rPr>
              <w:t>München</w:t>
            </w:r>
            <w:proofErr w:type="spellEnd"/>
            <w:r w:rsidRPr="00EE7163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EE7163">
              <w:rPr>
                <w:rFonts w:ascii="Cambria" w:hAnsi="Cambria"/>
                <w:sz w:val="22"/>
                <w:szCs w:val="22"/>
              </w:rPr>
              <w:t>Fink</w:t>
            </w:r>
            <w:proofErr w:type="spellEnd"/>
            <w:r w:rsidRPr="00EE7163">
              <w:rPr>
                <w:rFonts w:ascii="Cambria" w:hAnsi="Cambria"/>
                <w:sz w:val="22"/>
                <w:szCs w:val="22"/>
              </w:rPr>
              <w:t>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  <w:lang w:val="de-DE"/>
              </w:rPr>
            </w:pPr>
            <w:r w:rsidRPr="00EE7163">
              <w:rPr>
                <w:rFonts w:ascii="Cambria" w:hAnsi="Cambria"/>
                <w:sz w:val="22"/>
                <w:szCs w:val="22"/>
                <w:lang w:val="de-DE"/>
              </w:rPr>
              <w:lastRenderedPageBreak/>
              <w:t>ROCHE, J. (2005). Fremdsprachenerwerb, Fremdsprachendidaktik. Tübingen: Francke.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  <w:lang w:val="de-DE"/>
              </w:rPr>
              <w:t xml:space="preserve">KAST, B./ NEUNER, G. (Hrsg.). Zur Analyse, Begutachtung und Entwicklung von Lehrwerken für den fremdsprachlichen Deutschunterricht. </w:t>
            </w:r>
            <w:proofErr w:type="spellStart"/>
            <w:r w:rsidRPr="00EE7163">
              <w:rPr>
                <w:rFonts w:ascii="Cambria" w:hAnsi="Cambria"/>
                <w:sz w:val="22"/>
                <w:szCs w:val="22"/>
              </w:rPr>
              <w:t>Langenscheidt</w:t>
            </w:r>
            <w:proofErr w:type="spellEnd"/>
            <w:r w:rsidRPr="00EE7163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>ZAWADZKA, E. (2004). Nauczyciele języków obcych w dobie przemian. Kraków: Oficyna Wydawnicza „Impuls”.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>KOMOROWSKA, H. (1999). O programach prawie wszystko. Warszawa: WSiP.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>KOMOROWSKA, H. (2002). Metodyka nauczania języków obcych. Fraszka Edukacyjna.</w:t>
            </w:r>
          </w:p>
          <w:p w:rsidR="003C35C4" w:rsidRPr="00EE7163" w:rsidRDefault="003C35C4" w:rsidP="003C35C4">
            <w:pPr>
              <w:pStyle w:val="NormalnyWeb"/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beforeAutospacing="1" w:after="0" w:line="198" w:lineRule="atLeast"/>
              <w:rPr>
                <w:rFonts w:ascii="Cambria" w:hAnsi="Cambria"/>
                <w:sz w:val="22"/>
                <w:szCs w:val="22"/>
              </w:rPr>
            </w:pPr>
            <w:r w:rsidRPr="00EE7163">
              <w:rPr>
                <w:rFonts w:ascii="Cambria" w:hAnsi="Cambria"/>
                <w:sz w:val="22"/>
                <w:szCs w:val="22"/>
              </w:rPr>
              <w:t xml:space="preserve">Aktualna literatura przedmiotu. </w:t>
            </w:r>
          </w:p>
        </w:tc>
      </w:tr>
    </w:tbl>
    <w:p w:rsidR="003C35C4" w:rsidRDefault="003C35C4" w:rsidP="003C35C4">
      <w:pPr>
        <w:shd w:val="clear" w:color="auto" w:fill="FFFFFF" w:themeFill="background1"/>
        <w:spacing w:after="0" w:line="240" w:lineRule="auto"/>
        <w:rPr>
          <w:rFonts w:ascii="Cambria" w:eastAsia="Times New Roman" w:hAnsi="Cambria"/>
          <w:lang w:eastAsia="pl-PL"/>
        </w:rPr>
      </w:pPr>
    </w:p>
    <w:p w:rsidR="003C35C4" w:rsidRDefault="003C35C4" w:rsidP="003C35C4">
      <w:pPr>
        <w:shd w:val="clear" w:color="auto" w:fill="FFFFFF" w:themeFill="background1"/>
        <w:spacing w:after="0" w:line="240" w:lineRule="auto"/>
        <w:rPr>
          <w:rFonts w:ascii="Cambria" w:hAnsi="Cambria"/>
        </w:rPr>
      </w:pPr>
    </w:p>
    <w:p w:rsidR="003C35C4" w:rsidRDefault="003C35C4" w:rsidP="003C35C4">
      <w:pPr>
        <w:rPr>
          <w:rFonts w:ascii="Times New Roman" w:hAnsi="Times New Roman"/>
          <w:b/>
          <w:bCs/>
          <w:sz w:val="24"/>
          <w:szCs w:val="24"/>
        </w:rPr>
      </w:pPr>
    </w:p>
    <w:p w:rsidR="003C35C4" w:rsidRDefault="003C35C4" w:rsidP="003C35C4">
      <w:pPr>
        <w:rPr>
          <w:rFonts w:ascii="Times New Roman" w:hAnsi="Times New Roman"/>
          <w:b/>
          <w:bCs/>
          <w:sz w:val="24"/>
          <w:szCs w:val="24"/>
        </w:rPr>
      </w:pPr>
    </w:p>
    <w:p w:rsidR="00D4673A" w:rsidRDefault="00D4673A"/>
    <w:sectPr w:rsidR="00D4673A" w:rsidSect="0090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496F"/>
    <w:multiLevelType w:val="multilevel"/>
    <w:tmpl w:val="D318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E6891"/>
    <w:multiLevelType w:val="multilevel"/>
    <w:tmpl w:val="7EE4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050D"/>
    <w:multiLevelType w:val="multilevel"/>
    <w:tmpl w:val="FF6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C4"/>
    <w:rsid w:val="00097DE5"/>
    <w:rsid w:val="003C35C4"/>
    <w:rsid w:val="007512CC"/>
    <w:rsid w:val="00770E54"/>
    <w:rsid w:val="009030BE"/>
    <w:rsid w:val="00AC6CD2"/>
    <w:rsid w:val="00CD7097"/>
    <w:rsid w:val="00D4673A"/>
    <w:rsid w:val="00E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FF71-566F-4A8D-9044-CC5CE81A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C4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3C35C4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Bielska Monika Julianna</dc:creator>
  <cp:keywords/>
  <dc:description/>
  <cp:lastModifiedBy>sekretariat</cp:lastModifiedBy>
  <cp:revision>2</cp:revision>
  <dcterms:created xsi:type="dcterms:W3CDTF">2022-11-14T12:59:00Z</dcterms:created>
  <dcterms:modified xsi:type="dcterms:W3CDTF">2022-11-14T12:59:00Z</dcterms:modified>
</cp:coreProperties>
</file>